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F" w:rsidRPr="00511D0A" w:rsidRDefault="00D43E4F" w:rsidP="00A0114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11D0A" w:rsidRPr="00511D0A" w:rsidRDefault="00511D0A" w:rsidP="00A0114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t-BR"/>
        </w:rPr>
        <w:drawing>
          <wp:inline distT="0" distB="0" distL="0" distR="0" wp14:anchorId="4778A2A0" wp14:editId="7A03C018">
            <wp:extent cx="6562090" cy="63169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5"/>
      </w:tblGrid>
      <w:tr w:rsidR="00511D0A" w:rsidRPr="00511D0A" w:rsidTr="00511D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ap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caps/>
                <w:sz w:val="20"/>
                <w:szCs w:val="20"/>
                <w:lang w:eastAsia="pt-BR"/>
              </w:rPr>
              <w:t>ACORDO COLETIVO DE TRABALHO 2021/2022</w:t>
            </w:r>
          </w:p>
        </w:tc>
      </w:tr>
      <w:tr w:rsidR="00511D0A" w:rsidRPr="00511D0A" w:rsidTr="00511D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147" w:rsidRDefault="00A01147" w:rsidP="00A01147">
            <w:pPr>
              <w:jc w:val="both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5"/>
              <w:gridCol w:w="150"/>
              <w:gridCol w:w="1697"/>
            </w:tblGrid>
            <w:tr w:rsidR="00511D0A" w:rsidRPr="00511D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MR014430/2021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 xml:space="preserve">26/03/2021 ÀS </w:t>
                  </w:r>
                  <w:proofErr w:type="gramStart"/>
                  <w:r w:rsidRPr="00511D0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14:35</w:t>
                  </w:r>
                  <w:proofErr w:type="gramEnd"/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NÚMERO DO PROCESSO: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10264.102338/2021-91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DATA DO PROTOCOLO: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t-BR"/>
                    </w:rPr>
                    <w:t>26/03/2021</w:t>
                  </w:r>
                </w:p>
              </w:tc>
            </w:tr>
          </w:tbl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</w:p>
        </w:tc>
      </w:tr>
      <w:tr w:rsidR="00511D0A" w:rsidRPr="00511D0A" w:rsidTr="00511D0A">
        <w:trPr>
          <w:tblCellSpacing w:w="0" w:type="dxa"/>
        </w:trPr>
        <w:tc>
          <w:tcPr>
            <w:tcW w:w="0" w:type="auto"/>
            <w:vAlign w:val="center"/>
            <w:hideMark/>
          </w:tcPr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SINDICATO DOS EMPREGADOS NO COMERCIO DE VIAMAO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, CNPJ n. 91.337.147/0001-27, neste </w:t>
            </w:r>
            <w:r w:rsidR="00A011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ato </w:t>
            </w:r>
            <w:proofErr w:type="gramStart"/>
            <w:r w:rsidR="00A011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representado(</w:t>
            </w:r>
            <w:proofErr w:type="gramEnd"/>
            <w:r w:rsidR="00A011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a) por seu ; E </w:t>
            </w:r>
            <w:r w:rsidRPr="00511D0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HAVAN S.A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, CNPJ n. 79.379.491/0144-86, neste </w:t>
            </w:r>
            <w:r w:rsidR="00A011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ato representado(a) por seu ; 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celebra</w:t>
            </w:r>
            <w:r w:rsidR="00A011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m o presente </w:t>
            </w:r>
            <w:r w:rsidR="00A01147" w:rsidRPr="00A01147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ACORDO COLETIVO DE </w:t>
            </w:r>
            <w:r w:rsidRPr="00511D0A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TRABALHO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, estipulando as condições de trabalho prev</w:t>
            </w:r>
            <w:r w:rsidR="00A011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istas nas cláusulas seguintes: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PRIMEIRA - VIGÊNCIA E DATA-BASE</w:t>
            </w: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As partes fixam a vigência do presente Acordo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Coletivo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de Trabalho no período de 01º de março de 2021 a 28 de fevereiro de 2022 e a data-base </w:t>
            </w:r>
            <w:r w:rsidR="00A011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da categoria em 01º de março.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SEGUNDA – ABRANGÊNCIA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presente Acordo Coletivo de Trabalho, aplicável no âmbito da(s) empresa(s) acordante(s), abrangerá a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(s) categoria(s) </w:t>
            </w: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empregados no comércio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, com abrangência territorial em </w:t>
            </w: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Viamão/RS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SALÁRIOS, REAJUSTES E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PAGAMENTO</w:t>
            </w:r>
            <w:proofErr w:type="gramEnd"/>
          </w:p>
          <w:p w:rsidR="00511D0A" w:rsidRP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PISO SALARIAL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A01147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TERCEIRA -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SALÁRIOS MÍNIMOS PROFISSIONAIS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Ficam instituídos os seguintes salários Mínimos Profissionais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I) A partir de 1º de MARÇO de 2021: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</w:t>
            </w:r>
            <w:proofErr w:type="gramEnd"/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)</w:t>
            </w: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t-BR"/>
              </w:rPr>
              <w:t>Empregados em geral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t-BR"/>
              </w:rPr>
              <w:t>:</w:t>
            </w:r>
            <w:r w:rsidR="00A0114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R$ 1.523,30 (hum mil quinhentos e vinte e </w:t>
            </w:r>
            <w:proofErr w:type="spell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tres</w:t>
            </w:r>
            <w:proofErr w:type="spell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reais e trinta centavos);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b)</w:t>
            </w:r>
            <w:proofErr w:type="gramEnd"/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t-BR"/>
              </w:rPr>
              <w:t>Encarregado de serviço de limpeza e office boy: 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R$ 1.478,05 (hum mil quatrocentos e setenta e oito reais com cinco centavos);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c)</w:t>
            </w:r>
            <w:proofErr w:type="gramEnd"/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t-BR"/>
              </w:rPr>
              <w:t>Empregados  Aprendiz e Empacotadores: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 Fica estabelecido que o salário mínimo profissional do empregado aprendiz e empacotador não será inferior ao salário mínimo nacional fixado pelo governo federal, acrescido de quinze reais.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REAJUSTES/CORREÇÕES SALARIAIS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QUARTA 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–</w:t>
            </w: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COMPENSAÇÕE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Poderão ser compensados nos reajustes previstos na presente convenção os aumentos salariais, espontâneos ou coercitivos, concedidos durante o período revisado, exceto os provenientes de término de aprendizagem;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implemento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de idade; promoção por antiguidade ou merecimento; transferência de cargo, função, estabelecimento ou localidade; e equiparação salarial determinada por sentença transitada em julgado.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SULA QUINTA - REAJUSTE SALARIAL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Em 1º de março de 2021 os salários dos empregados representados pela entidade profissional convenente serão majorados no percentual de 6,22 % (seis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virgula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vinte e dois por cento), a incidir sobre o salário resultante da recomposição salarial acordada na data-base anterior. (Março/2020)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SEXTA - REAJUSTE 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SALARIAL PROPORCIONAL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taxa de reajustamento do salário do empregado que haja ingressado na empresa após a data-base será proporcional ao tempo de serviço e terá como limite o salário reajustado do empregado </w:t>
            </w:r>
            <w:proofErr w:type="spell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exercente</w:t>
            </w:r>
            <w:proofErr w:type="spell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da mesma função, admitido até 12 (doze) meses antes da data-base.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Na hipótese de o empregado não ter paradigma ou em se tratando de empresa constituída e em funcionamento depois da data-base da categoria, será adotado o critério proporcional ao tempo de serviço, com a adição ao salário de admissão, conforme tabela abaixo: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I – </w:t>
            </w: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EM 1º DE MARÇO DE 2021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275"/>
            </w:tblGrid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Admissão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Reajuste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MAR/20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6,22 %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ABR/20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 5,72 %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MAI/20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 5,20 %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lastRenderedPageBreak/>
                    <w:t>JUN/20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 4,68 %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JUL/20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 4,16 %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AGO/20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 3,64 %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SET/20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A01147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  </w:t>
                  </w:r>
                  <w:r w:rsidR="00511D0A"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3,12 %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OUT/20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A01147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  </w:t>
                  </w:r>
                  <w:r w:rsidR="00511D0A"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2,60 %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NOV/20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 2,08 %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DEZ/20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 1,56 %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JAN/21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 1,04 %</w:t>
                  </w:r>
                </w:p>
              </w:tc>
            </w:tr>
            <w:tr w:rsidR="00511D0A" w:rsidRPr="00511D0A">
              <w:trPr>
                <w:tblCellSpacing w:w="0" w:type="dxa"/>
              </w:trPr>
              <w:tc>
                <w:tcPr>
                  <w:tcW w:w="142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FEV/21</w:t>
                  </w:r>
                </w:p>
              </w:tc>
              <w:tc>
                <w:tcPr>
                  <w:tcW w:w="1275" w:type="dxa"/>
                  <w:hideMark/>
                </w:tcPr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  0,52 %</w:t>
                  </w:r>
                </w:p>
              </w:tc>
            </w:tr>
          </w:tbl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ÚNICO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Não poderá o empregado mais novo da empresa, por força da presente convenção, perceber salário superior ao mais antigo na mesma função.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PAGAMEN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TO DE SALÁRIO – FORMAS E PRAZOS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SÉTIMA - PAGAMENTO DE SALÁRIOS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Os salários, as horas extras e as comissões deverão ser pagos em uma única oportunidade, até o 5º (quinto) dia útil do mês subsequente ao vencido.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OIT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AVA - SALÁRIOS EM SEXTAS FEIRAS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empregador efetuará o pagamento dos salários em moeda corrente, sempre que o mesmo se realizar em sextas-feiras ou véspera de feriado, salvo se a empresa adotar sistema de depósito em conta bancária. 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ÁUSULA NONA - RECIBOS SALARIAIS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fornecerá aos seus empregados, no ato do pagamento dos salários, discriminativo dos pagamentos e descontos efetuados através de cópia de recibos ou envelopes de pagamentos onde conste: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a) o número de horas normais e extras trabalhadas;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</w:t>
            </w:r>
            <w:proofErr w:type="gramEnd"/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b) o montante das vendas e/ou cobranças sobre as quais incidam as comissões e os percentuais destas.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DÉCIMA - PAG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AMENTO DAS DIFERENÇAS SALARIAIS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As diferenças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salariais decorrentes da aplicação da presente convenção coletiva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poderão ser satisfeitas junto com a folha de pagamento do mês abril de 2021.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REMUNERAÇÃO DSR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DÉCIMA PRIMEIRA - REPOUSO SEMA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NAL REMUNERADO DO COMISSIONISTA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pagamento dos repousos remunerados e feriados, devidos aos empregados comissionistas, tomará por base o total das comissões auferidas no mês, dividido pelos dias efetivamente trabalhados e multiplicados pelos domingos e feriados a que fizer jus</w:t>
            </w: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ISONOMIA SALARIAL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DÉCI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MA SEGUNDA - IGUALDADE SALARIAL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Não poderá haver desigualdade salarial entre homens e mulheres, que prestem serviços ao mesmo empregador, exercendo função idêntica, com o mesmo tempo de serviço.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DÉCIMA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TERCEIRA - SALÁRIO DO SUCESSOR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Admitido empregado para função de outro dispensado sem justa causa, será garantido àquele salário igual ao do empregado de menor salário na função, sem considerar vantagens pessoais.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DESCONTOS SALARIAIS</w:t>
            </w:r>
          </w:p>
          <w:p w:rsidR="00A01147" w:rsidRPr="00511D0A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DÉCIMA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QUARTA - CHEQUES SEM COBERTURA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empresa não descontará do salário de seus empregados que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exerçam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função de caixa ou equivalente, valores relativos a cheques sem cobertura ou fraudulentamente emitidos, desde que tenham sido cumpridas as formalidades exigidas pelo empregador para a sua aceitação.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DÉCIMA QUINTA -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DESCONTO DO REPOUSO REMUNERADO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Fica proibido o desconto do repouso remunerado e do feriado correspondente, quando o empregado, apresentando-se atrasado, for admitido ao serviço.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CL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ÁUSULA DÉCIMA SEXTA - DESCONTOS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Serão considerados válidos os descontos salariais, desde que prévia e expressamente autorizados pelo empregado, efetuados pelo empregador a título de fundações, cooperativas, previdência privada, transporte, seguro de vida em grupo, farmácia, convênios com médicos, dentistas, clínicas, óticas, funerárias, hospitais, casas de saúde e laboratórios; convênios com lojas; convênios para fornecimento de alimentação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, seja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através de supermercado ou por intermediação do SESC ou SESI e cesta básica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ÚNICO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Fica ressalvado o direito do empregado de cancelar, a qualquer tempo e por escrito, a autorização para que se proceda aos descontos salariais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acima especificados, respeitadas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as obrigações já anteriormente assumidas pelo empregado.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Default="00511D0A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OUTRAS NORMAS REFERENTES A SALÁRIOS, REAJUSTES, PAGA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MENTOS E CRITÉRIOS PARA </w:t>
            </w:r>
            <w:proofErr w:type="gramStart"/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CÁLCULO</w:t>
            </w:r>
            <w:proofErr w:type="gramEnd"/>
          </w:p>
          <w:p w:rsidR="00A01147" w:rsidRP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DÉCIMA SÉTIMA - FGTS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recolherá o FGTS com base no total da remuneração do empregado, devendo entregar aos mesmos os extratos fornecidos pelo Banco.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GRATIFICAÇÕES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, ADICIONAIS, AUXÍLIOS E </w:t>
            </w:r>
            <w:proofErr w:type="gramStart"/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OUTROS</w:t>
            </w:r>
            <w:proofErr w:type="gramEnd"/>
          </w:p>
          <w:p w:rsidR="00511D0A" w:rsidRP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13º SALÁRIO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DÉCIMA OITAV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 - ADIANTAMENTO DO 13º SALÁRIO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empresa pagará 50% (cinquenta por cento) do 13º salário aos empregados que requeiram até 10 (dez) dias após o recebimento do aviso de férias, salvo em caso de férias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coletivas</w:t>
            </w:r>
            <w:proofErr w:type="gramEnd"/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GRATIFICAÇÃO DE FUNÇÃO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 DÉCIMA NONA - QUEBRA DE CAIXA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Os empregados que exerçam a função de caixa, exclusivamente, perceberão um adicional no valor de 10% (dez por cento) do salário profissional, a título de quebra de caixa, ficando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ajustado que ditos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valores não farão parte integrante do salário do empregado para qualquer efeito legal.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ÚNICO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Para os empregados admitidos a partir de 01.09.97 fica facultado o não pagamento do adicional de quebra de caixa pelas empresas que não procederem no desconto de eventuais diferenças verificadas por ocasião da conferência do caixa. A referida sistemática deverá ser consignada no contrato ou em documento entregue, mediante protocolo de recebimento, ao empregado caixa.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VIGÉSIMA - AUXÍLIO ALIMENTAÇÃO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Os empregados, além do piso normativo estabelecido, receberão  um vale alimentação no valor de R$ 15,45 (quinze reais e quarenta e cinco centavos) por dia trabalhado, autorizando-se o desconto, no mês seguinte, dos dias  de falta do empregado, no mês que corresponder ao pagamento, a ser feito mediante fornecimento de cartão alimentação especifico, sendo que os empregados ressarcirão a empresa no percentual máximo de 20% sobre o custo respectivo. O pagamento deste benefício não integrará a remuneração para nenhum fim de reflexo em nenhuma verba decorrente de contrato de trabalho. 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ADICIONAL DE HORA-EXTRA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VIGÉSIMA PRIME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IRA - ADICIONAL DE HORAS EXTRAS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 horas extras excedentes as duas primeiras serão remuneradas com um acréscimo de 100%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(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cem por cento).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VIGÉSIMA SEGUNDA - ADICIONAL DE HORAS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EXTRAS DO COMISSIONISTA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cálculo da hora extra do empregado comissionista tomará por base o valor das comissões auferidas no mês, dividido pelo número de horas trabalhadas, acrescentando-se ao valor hora o adicional para horas extras previsto nesta convenção.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ADICIONAL DE TEMPO DE SERVIÇO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VIGÉSIMA TERCEIRA – QUINQÜÊNIO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Aos integrantes da categoria profissional será concedido um adicional de 2%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(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dois por cento) a cada 5 (cinco) anos de serviço na mesma empresa, percentual este que incidirá, mensalmente, sobre o salário efetivamente percebido pelo empregado, independente da forma de remuneração.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ADICIONAL DE INSALUBRIDADE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VIGÉSIMA QUARTA - ADICIONAL DE INSALUBRIDADE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O pagamento do adicional de insalubridade devido aos integrantes da categoria profissional será calculado com base no salário mínimo nacional.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PARTICIP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AÇÃO NOS LUCROS E/OU RESULTADOS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VIGÉSIMA QUINTA - PLR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empresa deverá estabelecer programa de participação nos resultados, ficando garantido o pagamento de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salário do empregado ao ano, se alcançadas as metas estabelecidas pela empresa.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AUXÍLIO TRANSPORTE</w:t>
            </w:r>
          </w:p>
          <w:p w:rsidR="00A01147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V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IGÉSIMA SEXTA - VALE TRANSPORTE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fica obrigada a fornecer a seus empregados o vale transporte, nos termos da lei° 7619/87.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AUXÍLIO CRECHE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V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IGÉSIMA SÉTIMA - AUXÍLIO CRECHE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empresa, se não mantiver creches junto ao estabelecimento ou de forma conveniada pagarão aos seus empregados por filho menor de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06 (seis) anos, auxílio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mensal em valor equivalente a 15% (quinze por cento) do salário normativo da categoria, independentemente de qualquer comprovação de despesas.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PRIMEIRO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Fica estabelecido que o empregador que firmar convênios deverá garantir vagas para todas as crianças de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0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(zero) a 06 (seis) anos de idade.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SEGUNDO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Fica estabelecido que o empregador que firmar convênios deverá fazê-lo com creches localizadas perto do local de trabalho e que não seja de difícil acesso.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OUTROS AUXÍLIOS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VIGÉSIMA OI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TAVA - ABONO DIA DO COMERCIÁRIO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 empregado receberá na folha de pagamento do mês de outubro de cada ano o valor de R$ 46,76 (quarenta e seis reais e setenta e seis centavos).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título de abono pelo dia do comerciário.</w:t>
            </w:r>
          </w:p>
          <w:p w:rsidR="00A01147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CONTRATO DE TRABALHO – 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ADMISSÃO, DEMISSÃO, </w:t>
            </w:r>
            <w:proofErr w:type="gramStart"/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MODALIDADES</w:t>
            </w:r>
            <w:proofErr w:type="gramEnd"/>
          </w:p>
          <w:p w:rsidR="00511D0A" w:rsidRPr="00511D0A" w:rsidRDefault="00511D0A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ORMAS PARA ADMISSÃO/CONTRATAÇÃO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VIGÉSIMA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NONA - CONTRATO DE EXPERIÊNCIA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Os contratos de experiência não poderão ser celebrados por prazo inferior a 15 (quinze) dias, devendo as empresas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fornecerem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cópia dos mesmos no ato da admissão.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TRIGÉSIMA - ANOTAÇÃO DAS COMI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SSÕES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anotará na CTPS de seus empregados ou no correspondente instrumento contratual, o percentual ajustado para o pagamento das comissões.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TRIGÉSIMA 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PRIMEIRA - CONTRATO DE TRABALHO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empresa fornecerá aos seus empregados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cópia do contrato de trabalho, desde que o mesmo não se possa conter por inteiro nas anotações da CTPS.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TRIGÉSI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MA SEGUNDA - ANOTAÇÃO DA FUNÇÃO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anotará na Carteira de Trabalho de seus empregados a função efetivamente exercida por eles no estabele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softHyphen/>
              <w:t>cimento.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A01147" w:rsidP="00A011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DESLIGAMENTO/DEMISSÃO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T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RIGÉSIMA TERCEIRA - JUSTA CAUSA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notificará por escrito ao empregado a justa causa invocada para a rescisão contratual.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TRIGÉSIMA QUARTA - P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AGAMENTO DAS VERBAS RESCISÓRIAS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Quando da rescisão do contrato de trabalho, fica a empresa obrigada ao pagamento dos direitos rescisórios e anotações na CTPS em até 10(dez) dias contados a partir do término do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contrato</w:t>
            </w:r>
            <w:proofErr w:type="gramEnd"/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PARÁGRAFO ÚNICO</w:t>
            </w:r>
          </w:p>
          <w:p w:rsidR="00511D0A" w:rsidRP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A01147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 inobservância dos prazos acima sujeitará o infrator às multas previstas no parágrafo oitavo do artigo 477 da CLT</w:t>
            </w:r>
          </w:p>
          <w:p w:rsidR="00A01147" w:rsidRPr="00511D0A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AVISO PRÉVIO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TRIGÉSIMA QU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INTA - OBTENÇÃO DE NOVO EMPREGO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empregado que, em cumprimento de aviso prévio dado pelo empregador, provar a obtenção de novo emprego, terá direito de se desligar da empresa de imediato, percebendo os dias já trabalhados no curso do aviso prévio, sem prejuízo das parcelas rescisórias. 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A01147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TRIGÉSIMA SEXTA - DISPENSA DO CUMPRIMENTO DO 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AVISO PRÉVIO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poderá exigir de seus empregados o cumprimento de aviso prévio sem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 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comparecimento deste ao trabalho, para isso, deverá fazê-lo por escrito no próprio aviso.</w:t>
            </w:r>
          </w:p>
          <w:p w:rsidR="00A01147" w:rsidRDefault="00A01147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TRIGÉSIMA SÉTIMA - ALTERAÇÃO DE CONDIÇÕES NO AVISO PRÉVI</w:t>
            </w:r>
            <w:r w:rsidR="00A011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Ficam proibidas as alterações nas condições de trabalho, inclusive no local de trabalho, durante o aviso prévio, dado por qualquer das partes, salvo em caso de reversão ao cargo efetivo, de </w:t>
            </w:r>
            <w:proofErr w:type="spell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exercente</w:t>
            </w:r>
            <w:proofErr w:type="spell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de cargo de confiança,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sob pena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de rescisão imediata de contrato de trabalho, respondendo o empregador pelo pagamento do restante do aviso prévio.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TRIGÉSIMA OITAVA - RED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UÇÃO DA JORNADA NO AVISO PRÉVIO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empregado, durante o aviso prévio, poderá escolher a redução de 02 (duas) horas, no início ou no fim da jornada de trabalho, caso não seja dispensado do cumprimento do mesmo.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35F5D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ESTÁGIO/APRENDIZAGEM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LA TRIGÉSIMA NONA – ESTAGIÁRIOS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Fica estabelecido que se a empresa contratar estagiários deverá comunicar ao sindicato profissional tal fato, sendo que somente poderá contratar estagiários no percentual máximo de 10% (dez por cento) do seu quadro de empregados.</w:t>
            </w:r>
          </w:p>
          <w:p w:rsidR="00511D0A" w:rsidRPr="00511D0A" w:rsidRDefault="00511D0A" w:rsidP="00935F5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PRIMEIRO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Fica estabelecido que os estagiários contratados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deverão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exercer atividades que estão relacionadas com a sua formação profissional e curricular.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OUTRAS NORMAS REFERENTES </w:t>
            </w:r>
            <w:proofErr w:type="gramStart"/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</w:t>
            </w:r>
            <w:proofErr w:type="gramEnd"/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ADMISSÃO, DEMISS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ÃO E MODALIDADES DE CONTRATAÇÃO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QUADRAGÉSIMA - INFORME 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ANUAL DE RENDIMENTO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fornecerá a seus empregados o Informe Anual de Regimentos, para fins de Imposto de Renda.</w:t>
            </w: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QUADRAGÉSIMA PRIMEIRA - GUIAS DE 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PAGAMENTO CONTRIBUIÇÃO SINDICAL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encaminhará às entidades profissionais e patronais representativas, cópia das guias de Contribuição Sindical e do Desconto Assistencial acompanhada da relação nominal e dos salários de admissão dos empregados, no mês de março de cada ano.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QUADRAGÉSIMA SEGUNDA - CONFERÊNCIA DE CA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IXA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conferência de caixa será efetuada à vista do empregado por ela responsável,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sob pena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de resultar inimputável a este qualquer irregularidade ou diferença.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QUADRAGÉSIMA TERCEIRA -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CONFERÊNCIA DE CAIXA - HORÁRIO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 horas dispendidas na conferência de caixa, quando realizadas após a jornada normal de trabalho, serão pagas como extraordinárias, com a aplicação do percentual estabelecido nesta convenção.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RELAÇÕES DE TRABALHO – CONDIÇÕES DE TRABALHO, NO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RMAS DE PESSOAL E </w:t>
            </w:r>
            <w:proofErr w:type="gramStart"/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ESTABILIDADES</w:t>
            </w:r>
            <w:proofErr w:type="gramEnd"/>
          </w:p>
          <w:p w:rsidR="00511D0A" w:rsidRPr="00511D0A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ESTABILIDADE MÃE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QUADRAGÉSIMA QU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ARTA - ESTABILIDADE DA GESTANTE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empregada gestante será assegurada a estabilidade no emprego durante a gravidez até 60 (sessenta) dias contados após o retorno do benefício previdenciário.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ÚNICO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Na hipótese de dispensa sem justa causa, a empregada deverá apresentar à empresa atestado médico comprobatório de gravidez anterior ao aviso prévio, dentro de 30 (trinta) dias após a data do término do aviso prévio.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ESTABILIDADE ACIDENTADO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S/PORTADORES DOENÇA PROFISSIONAL</w:t>
            </w: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CLÁUSULA QUADRAGÉSIMA QUIN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TA - ESTABILIDADE DO ACIDENTADO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Aos empregados afastados por motivo de acidente de trabalho, será assegurada estabilidade provisória nos termos do art. 118 da Lei nº 8.213.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OUTRAS NORMAS DE PESSOAL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QUADRAGÉSIMA SEXTA – MAQUILAGEM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Se houver a exigência, por parte da empresa, para que as empregadas trabalhem maquiladas fornecerão material necessário, adequado à tez da empregada. 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QUADRAGÉSIMA SÉTIMA - COMPROVAN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TE DE RECEBIMENTO DE DOCUMENTOS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empresa fornecerá a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seus empregados comprovante de recebimento de quaisquer documentos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que por estes lhes sejam entregues. 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JORNADA DE TRABALHO – DURAÇÃO, DISTRI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BUIÇÃO, CONTROLE, </w:t>
            </w:r>
            <w:proofErr w:type="gramStart"/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FALTAS</w:t>
            </w:r>
            <w:proofErr w:type="gramEnd"/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DURAÇÃO E HORÁRIO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</w:t>
            </w:r>
            <w:r w:rsidR="00511D0A"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LÁUSULA QUADRAGÉSIMA </w:t>
            </w:r>
            <w:proofErr w:type="gramStart"/>
            <w:r w:rsidR="00511D0A"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OITAVA - FUNCI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ONAMENTO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EM DOMINGOS E FERIADOS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as empresas está autorizada a utilizar mão-de-obra de empregados  em todos os dias do ano exceto nos dias: ano novo</w:t>
            </w:r>
            <w:r w:rsidR="00935F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(primeiro de janeiro) e Natal (vinte e cinco de dezembro).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PRIMEIRO – PAGAMENTO DE ABONO DOMINGOS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empresa poderá abrir todos os domingos, utilizando mão-de-obra de seus empregados, observado a periodicidade das folgas dispostas no artigo 6º da Lei 10.101/2000. Para esses empregados será pago abono indenizatório de R$ 55,00 (cinquenta e cinco reais) por domingo trabalhado e mais uma folga por domingo trabalhado, para a JORNADA DE 8 HORAS, e caso exceda a jornada, as horas adicionais serão pagas com valor da hora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extra prevista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na presente convenção. Não poderá haver trabalho por mais de 06 dias consecutivos sem que seja dada a folga. Este abono tem natureza indenizatória.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SEGUNDO – PAGAMENTO DE ABONO FERIADOS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poderá abrir em todos os feriados, exceto nos descritos no caput, e pagará aos empregados que trabalharem nesses dias um abono indenizatório de R$ 110,00(cento e dez reais), não havendo necessidade de folga compensatória dos mesmos.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PARAGRAFO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TERCEIRO -</w:t>
            </w:r>
            <w:r w:rsidR="00511D0A"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DA</w:t>
            </w:r>
            <w:proofErr w:type="gramEnd"/>
            <w:r w:rsidR="00511D0A"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ESCALA DE FOLGA AOS DOMINGOS PARA AS MULHERES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Tendo o Acordo Coletivo prevalência sobre a lei, conforme caput do artigo 611-A, da CLT. Considerando que a matéria aqui tratada não consta no rol das proibições do artigo 611-B, em especial, no inciso XXX, acordam as partes a possibilidade de traba</w:t>
            </w:r>
            <w:r w:rsidR="00935F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lho das mulheres em  escala 2x1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em domingos. Prevalecendo esta disposição sobre o artigo 386 da CLT.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PARAGRAFO QUARTO - 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</w:t>
            </w: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VALE-TRANSPORTE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Os empregados que trabalharem nos domingos e feriados, em caso de deslocamento residência/trabalho terão direito a vale transporte.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QUADRAGÉSIMA </w:t>
            </w:r>
            <w:proofErr w:type="gramStart"/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NONA 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- HORÁRIO DE NATAL</w:t>
            </w:r>
            <w:proofErr w:type="gramEnd"/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 FIM DE ANO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Será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assegurado a toda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categoria profissional um expediente único nos dias 24 e 31 de dezembro, horário este que não poderá exceder das 20 (vinte) horas e 30 (trinta) minutos, respeitada as disposições legais e da presente convenção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QUINQUA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GÉSIMA - BALANÇOS E INVENTÁRIOS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Quando a empresa realizar balanços e inventários fora do horário normal de trabalho, as duas primeiras horas deverão ser pagas com o adicional de 50% (cinquenta por cento) e as excedentes as duas primeiras com um acréscimo de 100% (cem por cento) previsto nesta convenção.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ÚNICO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Para a realização de balanços e inventários fora do horário normal de trabalho, a empresa deverá fazer acordo coletivo com seus empregados.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COMPENSAÇÃO DE JORNADA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QUINQUAGÉSIMA PRIMEIRA 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- REGIME DE COMPENSAÇÃO HORÁRIA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duração normal da jornada de trabalho poderá, para fins de adoção do regime de compensação horária de que trata o art. 59 da CLT, ser acrescida de horas suplementares em número não excedente de 02 (duas) horas, respeitada a seguinte sistemática: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)        o regime de compensação horária poderá ser estabelecido por períodos máximos de 60(sessenta) dias, limitado a 30 (trinta) horas mensais, sendo considerado módulos bimensais.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apuração e liquidação do saldo de horas será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feita, bimestralmente, no final dos meses de abril, junho, agosto, outubro, dezembro e fevereiro;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b)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       as horas excedentes ao limite previsto na letra "a" da presente cláusula, serão pagas como extras e acrescidas do adicional previsto nesta convenção, o que não descaracteriza o regime compensatório ajustado;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>c)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        as empresas que se utilizarem da compensação deverão adotar controle de ponto da carga horária do empregado.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d)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       na hipótese de compensação horária por período de 60 (sessenta)  dias a  empresa concederá ao empregado espelho de cartão ponto.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PARAGRAFO PRIMEIRO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As horas de trabalho reduzidas na jornada para posterior compensação não poderão ser objeto de descontos salariais, caso não venham a ser compensadas com o respectivo aumento da jornada dentro do mês e nem poderão ser objeto de compensação nos meses subsequentes.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SEGUNDO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Havendo rescisão de contrato e se houver crédito a favor do empregado, as respectivas horas serão computadas e remuneradas com o adicional de horas extras previsto nesta convenção.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TERCEIRO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Se houver débitos de horas do empregado para com o empregador, na hipótese de rompimento de contrato por iniciativa do empregador, as horas não trabalhadas serão abonadas, sem qualquer desconto nas verbas a que o trabalhador tiver direito na rescisão de contrato de trabalho.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QUARTO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faculdade estabelecida no "caput" desta cláusula se aplica a todas as atividades, inclusive aquelas consideradas insalubres, independentemente da autorização a que se refere o artigo 60 da CLT.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CONTROLE DA JORNADA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QUINQUAGÉSIMA 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SEGUNDA - LIVRO OU CARTÃO PONTO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fica obrigada a utilizar livro ou cartão ponto, com obrigatoriedade de o empregado registrar sua presença ao trabalho.</w:t>
            </w: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FALTAS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QUINQUAGÉSIMA TERCEIRA - ABONO D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 PONTO PARA EMPREGADA GESTANTE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abonará a falta da empregada gestante, no limite máximo de 01 (uma) mensal, no caso de consulta médica, mediante comprovação, declaração médica ou apresentação da carteira de gestante devidamente anotada.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QUINQUAGÉSIMA QUARTA - ABONO DE FA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LTA PARA CONSULTA MÉDICA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está obrigada a abonar as faltas ao serviço do pai ou mãe, no caso de consulta médica ou interna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softHyphen/>
              <w:t>ções hospitalares de filhos menores de 07 (sete) anos de idade ou excepcionais, mediante comprovação médica. O benefício fica limitado a 06 (seis) faltas ao ano.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JORNADAS ESPECIAIS 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(MULHERES, MENORES, ESTUDANTES</w:t>
            </w:r>
            <w:proofErr w:type="gramStart"/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)</w:t>
            </w:r>
            <w:proofErr w:type="gramEnd"/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QUINQUAGÉSIMA QUINTA - PROR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ROGAÇÃO DA JORNADA DO ESTUDANTE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 empregado estudante poderá não aceitar a prorrogação de seu horário de trabalho, se tal vier a </w:t>
            </w:r>
            <w:proofErr w:type="spell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prejudicar-lhe</w:t>
            </w:r>
            <w:proofErr w:type="spell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a frequência às aulas e/ou exames escolares. 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QUINQUAGÉSIMA SE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XTA - ABONO EMPREGADO ESTUDANTE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Os empregados estudantes, matriculados em escolas oficiais ou reconhecidas, em dias de realização de provas finais de cada semestre, serão dispensados de seus pontos durante meio turno, desde que comuniquem à empresa 48 (quarenta e oito) horas antes e comprovem a realização da prova 4</w:t>
            </w:r>
            <w:r w:rsidR="00935F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8 (quarenta e oito) horas após.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35F5D" w:rsidRDefault="00511D0A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UTRAS DISPOSIÇÕES SOBRE JORNADA</w:t>
            </w:r>
          </w:p>
          <w:p w:rsidR="00935F5D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35F5D" w:rsidRPr="00511D0A" w:rsidRDefault="00511D0A" w:rsidP="00935F5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QUINQUAGÉSIMA S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ÉTIMA - ABONO PARA SAQUE DO PIS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dispensará seus empregados durante 02 (duas) horas do expediente da jornada de trabalho, sem prejuízo salarial, para o saque das parcelas do PIS e, durante 01 (um) dia, quando seu domicílio bancário for fora da cidade.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QUINQUAGÉ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SIMA </w:t>
            </w:r>
            <w:proofErr w:type="gramStart"/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OITAVA - CURSOS E REUNIÕES</w:t>
            </w:r>
            <w:proofErr w:type="gramEnd"/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Os cursos e reuniões promovidos pela empresa, quando de comparecimento obrigatório, serão realizados durante a jornada normal de trabalho ou as horas correspondentes serão pagas como extras.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LA QUINQUAGÉSIMA NONA - LANCHES</w:t>
            </w: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empresa, se não dispensar seus empregados pelo período necessário para fazer lanche, manterá local apropriado em condições de higiene para tal.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FÉRIAS E LICENÇAS</w:t>
            </w: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DURAÇÃO E CONCESSÃO DE FÉRIAS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SEXAGÉSIMA – FÉRIAS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empresa, ao conceder férias a seus empregados, pagará a remuneração destas conforme estabelece o artigo 145 da CLT.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SEXAGÉSIMA 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PRIMEIRA - FÉRIAS PROPORCIONAIS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Aos empregados que rescindirem espontaneamente seu contrato de trabalho antes de completar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(um) ano de serviço, serão pagas férias proporcionais à razão de 1/12 avos da respectiva remuneração mensal por cada mês completo de trabalho, nos termos do Enunciado 261 do TST.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AÚDE E SEGURANÇA DO TRABALHADOR</w:t>
            </w:r>
          </w:p>
          <w:p w:rsidR="00511D0A" w:rsidRPr="00511D0A" w:rsidRDefault="00511D0A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NDIÇÕES DE AMBIENTE DE TRABALHO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 SEXAGÉSIMA SEGUNDA - ASSENTOS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empresa colocará assentos nos locais de trabalho, para uso dos empregados que tenham por atividade o atendimento ao público, nos termos da Portaria </w:t>
            </w:r>
            <w:proofErr w:type="spellStart"/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MTb</w:t>
            </w:r>
            <w:proofErr w:type="spellEnd"/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nº 3214/78.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UNIFORME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CLÁUSULA 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SEXAGÉSIMA TERCEIRA – UNIFORMES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Se a empresa exigir o uso de uniforme, fica obrigada a fornecê-lo a seus empregados, sem qualquer ônus, ao número de 02 (dois) ao ano. 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EXAMES MÉDICOS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SEXAGÉSIMA QUARTA - S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EGURANÇA E MEDICINA DO TRABALHO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A empresa está desobrigada de indicar médico coordenador do PCMSO se estiver enquadrada em grau de risco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e 2, segundo o Quadro 1 da NR 4, com até 50 (cinquenta) empregados.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Se enquadrada no grau de risco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1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ou 2 do Quadro 1 da NR 4, estará obrigadas a realizar exame médico demissional até a data da homologação da rescisão contratual, desde que o último exame médico ocupacional tenha sido realizado há mais de 270 (duzentos e setenta) dias, e desde que assistidas por profissional do órgão regional competente em segurança e saúde no trabalho.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Se enquadradas no grau de risco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3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ou 4 do Quadro 1 da NR 4, estará obrigada a realizar o exame médico demissional até a data da homologação da rescisão contratual, desde que o último exame médico ocupacional tenha sido realizado há mais de 180 (cento e oitenta) dias, e desde que assistidas por profissional do órgão regional competente em segurança e saúde no trabalho.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ACEITAÇÃO DE ATESTADOS MÉDICOS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SEXAGÉSI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MA QUINTA - ATESTADOS DE DOENÇA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 empresa aceitará atestados de doença para a justificativa de falta ao serviço, expedidos por médicos particulares desde conveniados com o INSS.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RELAÇÕES SINDICAIS</w:t>
            </w: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CONTRIBUIÇÕES SINDICAIS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CLÁUSULA SEXAGÉSIMA SEXTA - CONTR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IBUIÇÃO NEGOCIAL DOS EMPREGADOS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Sindicato dos Empregados no Comércio de Viamão ajusta o pagamento por empregados por eles representados e alcançados pela presente Convenção Coletiva de Trabalho, de contribuição negocial instituída na forma do art. 513, "e", da CLT, respeitado o disposto no art. 611-B, XXVI, do mesmo diploma legal.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PRIMEIRO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Os empregadores descontarão de seus empregados representados pelo sindicato obreiro, a título de contribuição negocial, a importâ</w:t>
            </w:r>
            <w:r w:rsidR="00935F5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ncia correspondente a</w:t>
            </w: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1º/o (um por cento) do piso profissional percebido pelos empregados nos meses de JANEIR0, FEVEREIR0, MARÇ0, ABRIL, MAI0, JUNH0, JULH0, AGOST0, SETEMBRO, OUTUBRO, NOVEMBRO e DEZEMBRO recolhendo tais importâncias até o dia 10 do mês subsequente ao recolhimento, sob pena das cominações previstas no artigo 600 da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CLT</w:t>
            </w:r>
            <w:proofErr w:type="gramEnd"/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 Caso o desconto tenha ocorrido durante a vigência da presente convenção as empresas estão isentas de descontar dos empregados.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935F5D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SEGUNDO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lastRenderedPageBreak/>
              <w:t xml:space="preserve">As contribuições em favor do sindicato dos empregados, previstas nesta cláusula, em caso de demanda judicial ajuizada por empregado que pretenda a devolução das mesmas, serão de responsabilidade exclusiva do Sindicato dos empregados, que assume a responsabilidade pela devolução dos valores em tais casos, exceção feita a eventuais indenizações em caso de dolo ou de culpa do empregador na efetuação dos descontos judicialmente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contestados .</w:t>
            </w:r>
            <w:proofErr w:type="gramEnd"/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PARÁGRAFO TERCEIRO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O Sindicato dos empregados consigna que conforme deliberado na assembleia da categoria profissional é assegurado o direito de oposição pelo empregado, manifestado individualmente e por escrito à entidade sindical convenente, que deverá ser exercido no prazo de até 10 dias, contados da data de assinatura do presente  Acordo coletivo de trabalho (ACT), o qual deverá ser divulgado pela empresa acordante aos seus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empregados .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Não havendo sede da entidade na localidade onde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 empregado presta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serviço, a carta de oposição poderá ser remetia pelo correio e com aviso de recebimento.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:rsidR="00511D0A" w:rsidRPr="00511D0A" w:rsidRDefault="00935F5D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DISPOSIÇÕES GERAIS</w:t>
            </w:r>
          </w:p>
          <w:p w:rsidR="00511D0A" w:rsidRPr="00511D0A" w:rsidRDefault="00511D0A" w:rsidP="00935F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DESCUMPRIMENTO DO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INSTRUMENTO COLETIVO</w:t>
            </w:r>
          </w:p>
          <w:p w:rsidR="00935F5D" w:rsidRDefault="00935F5D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CLÁ</w:t>
            </w:r>
            <w:r w:rsidR="00935F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USULA SEXAGÉSIMA SÉTIMA - MULTA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Se a empresa descumprir qualquer cláusula ou condições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ajustadas no presente Acordo Coletivo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, será notificado pelo Sindicato dos Empregados no Comercio de Viamão. </w:t>
            </w:r>
            <w:proofErr w:type="gramStart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Após</w:t>
            </w:r>
            <w:proofErr w:type="gramEnd"/>
            <w:r w:rsidRPr="00511D0A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notificada poderá comprovar que não descumpriu nenhuma norma coletiva. Caso não se desincumba deverá pagar a cada empregado caso prejudicado a multa no valor de R$ 323,00 (Trezentos e vinte e três reais), na presença do Sindicato profissional no prazo de 03 dias contados da data da notificação.</w:t>
            </w:r>
          </w:p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2"/>
            </w:tblGrid>
            <w:tr w:rsidR="00511D0A" w:rsidRPr="00511D0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35F5D" w:rsidRDefault="00935F5D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</w:p>
                <w:p w:rsidR="00935F5D" w:rsidRDefault="00935F5D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</w:p>
                <w:p w:rsidR="00935F5D" w:rsidRDefault="00935F5D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</w:p>
                <w:p w:rsidR="00935F5D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PAULO FER</w:t>
                  </w:r>
                  <w:r w:rsidR="00935F5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NANDO PINTO FERREIRA</w:t>
                  </w:r>
                </w:p>
                <w:p w:rsidR="00935F5D" w:rsidRDefault="00935F5D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PRESIDENTE</w:t>
                  </w:r>
                </w:p>
                <w:p w:rsidR="00935F5D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SINDICATO DOS EMPREGADOS NO COMERC</w:t>
                  </w:r>
                  <w:r w:rsidR="00935F5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IO DE VIAMAO</w:t>
                  </w:r>
                  <w:r w:rsidR="00935F5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br/>
                  </w:r>
                </w:p>
                <w:p w:rsidR="00935F5D" w:rsidRDefault="00935F5D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</w:p>
                <w:p w:rsidR="00935F5D" w:rsidRDefault="00935F5D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</w:p>
                <w:p w:rsidR="00935F5D" w:rsidRDefault="00935F5D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</w:p>
                <w:p w:rsidR="00935F5D" w:rsidRDefault="00935F5D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bookmarkStart w:id="0" w:name="_GoBack"/>
                  <w:bookmarkEnd w:id="0"/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RENATA KERKHOFF</w:t>
                  </w:r>
                </w:p>
                <w:p w:rsidR="00935F5D" w:rsidRDefault="00935F5D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PROCURADOR</w:t>
                  </w:r>
                </w:p>
                <w:p w:rsidR="00511D0A" w:rsidRPr="00511D0A" w:rsidRDefault="00511D0A" w:rsidP="00A0114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511D0A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HAVAN S.A.</w:t>
                  </w:r>
                </w:p>
              </w:tc>
            </w:tr>
          </w:tbl>
          <w:p w:rsidR="00511D0A" w:rsidRPr="00511D0A" w:rsidRDefault="00511D0A" w:rsidP="00A011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</w:tbl>
    <w:p w:rsidR="00511D0A" w:rsidRPr="00511D0A" w:rsidRDefault="00511D0A" w:rsidP="00A0114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11D0A" w:rsidRPr="00511D0A" w:rsidRDefault="00511D0A" w:rsidP="00A0114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11D0A" w:rsidRPr="00511D0A" w:rsidRDefault="00511D0A" w:rsidP="00A0114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511D0A" w:rsidRPr="00511D0A" w:rsidSect="00511D0A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CC" w:rsidRDefault="005142CC" w:rsidP="00511D0A">
      <w:pPr>
        <w:spacing w:after="0" w:line="240" w:lineRule="auto"/>
      </w:pPr>
      <w:r>
        <w:separator/>
      </w:r>
    </w:p>
  </w:endnote>
  <w:endnote w:type="continuationSeparator" w:id="0">
    <w:p w:rsidR="005142CC" w:rsidRDefault="005142CC" w:rsidP="0051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CC" w:rsidRDefault="005142CC" w:rsidP="00511D0A">
      <w:pPr>
        <w:spacing w:after="0" w:line="240" w:lineRule="auto"/>
      </w:pPr>
      <w:r>
        <w:separator/>
      </w:r>
    </w:p>
  </w:footnote>
  <w:footnote w:type="continuationSeparator" w:id="0">
    <w:p w:rsidR="005142CC" w:rsidRDefault="005142CC" w:rsidP="0051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0A" w:rsidRDefault="00511D0A">
    <w:pPr>
      <w:pStyle w:val="Cabealho"/>
    </w:pPr>
  </w:p>
  <w:p w:rsidR="00511D0A" w:rsidRDefault="00511D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0A"/>
    <w:rsid w:val="00511D0A"/>
    <w:rsid w:val="005142CC"/>
    <w:rsid w:val="00935F5D"/>
    <w:rsid w:val="00A01147"/>
    <w:rsid w:val="00D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11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D0A"/>
  </w:style>
  <w:style w:type="paragraph" w:styleId="Rodap">
    <w:name w:val="footer"/>
    <w:basedOn w:val="Normal"/>
    <w:link w:val="RodapChar"/>
    <w:uiPriority w:val="99"/>
    <w:unhideWhenUsed/>
    <w:rsid w:val="00511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D0A"/>
  </w:style>
  <w:style w:type="paragraph" w:styleId="Textodebalo">
    <w:name w:val="Balloon Text"/>
    <w:basedOn w:val="Normal"/>
    <w:link w:val="TextodebaloChar"/>
    <w:uiPriority w:val="99"/>
    <w:semiHidden/>
    <w:unhideWhenUsed/>
    <w:rsid w:val="0051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D0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11D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5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web"/>
    <w:basedOn w:val="Normal"/>
    <w:rsid w:val="005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1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11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D0A"/>
  </w:style>
  <w:style w:type="paragraph" w:styleId="Rodap">
    <w:name w:val="footer"/>
    <w:basedOn w:val="Normal"/>
    <w:link w:val="RodapChar"/>
    <w:uiPriority w:val="99"/>
    <w:unhideWhenUsed/>
    <w:rsid w:val="00511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D0A"/>
  </w:style>
  <w:style w:type="paragraph" w:styleId="Textodebalo">
    <w:name w:val="Balloon Text"/>
    <w:basedOn w:val="Normal"/>
    <w:link w:val="TextodebaloChar"/>
    <w:uiPriority w:val="99"/>
    <w:semiHidden/>
    <w:unhideWhenUsed/>
    <w:rsid w:val="0051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D0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11D0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5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normalweb">
    <w:name w:val="ww-normalweb"/>
    <w:basedOn w:val="Normal"/>
    <w:rsid w:val="005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1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4413</Words>
  <Characters>23834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2021-06-25T17:36:00Z</dcterms:created>
  <dcterms:modified xsi:type="dcterms:W3CDTF">2021-06-25T18:08:00Z</dcterms:modified>
</cp:coreProperties>
</file>